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FEA9" w14:textId="77777777" w:rsidR="00445983" w:rsidRDefault="00B854B3" w:rsidP="00F23503">
      <w:pPr>
        <w:rPr>
          <w:color w:val="6A2666"/>
        </w:rPr>
      </w:pPr>
      <w:r>
        <w:rPr>
          <w:noProof/>
        </w:rPr>
        <mc:AlternateContent>
          <mc:Choice Requires="wps">
            <w:drawing>
              <wp:inline distT="0" distB="0" distL="0" distR="0" wp14:anchorId="67F259DD" wp14:editId="576E5C1C">
                <wp:extent cx="6426200" cy="457200"/>
                <wp:effectExtent l="0" t="0" r="3175" b="635"/>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57200"/>
                        </a:xfrm>
                        <a:prstGeom prst="rect">
                          <a:avLst/>
                        </a:prstGeom>
                        <a:solidFill>
                          <a:srgbClr val="D4EEF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14690" w14:textId="77777777" w:rsidR="00445983" w:rsidRPr="002872DD" w:rsidRDefault="00560EFC" w:rsidP="007A12DE">
                            <w:pPr>
                              <w:pStyle w:val="Heading1"/>
                              <w:rPr>
                                <w:rFonts w:ascii="Calibri" w:hAnsi="Calibri"/>
                              </w:rPr>
                            </w:pPr>
                            <w:r>
                              <w:t>Phase 1: Building an Action Team</w:t>
                            </w:r>
                          </w:p>
                        </w:txbxContent>
                      </wps:txbx>
                      <wps:bodyPr rot="0" vert="horz" wrap="square" lIns="182880" tIns="91440" rIns="91440" bIns="91440" anchor="ctr" anchorCtr="0" upright="1">
                        <a:noAutofit/>
                      </wps:bodyPr>
                    </wps:wsp>
                  </a:graphicData>
                </a:graphic>
              </wp:inline>
            </w:drawing>
          </mc:Choice>
          <mc:Fallback>
            <w:pict>
              <v:shapetype w14:anchorId="67F259DD" id="_x0000_t202" coordsize="21600,21600" o:spt="202" path="m,l,21600r21600,l21600,xe">
                <v:stroke joinstyle="miter"/>
                <v:path gradientshapeok="t" o:connecttype="rect"/>
              </v:shapetype>
              <v:shape id="Text Box 12" o:spid="_x0000_s1026" type="#_x0000_t202" style="width:50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" fillcolor="#d4eef5" stroked="f">
                <v:textbox inset="14.4pt,7.2pt,,7.2pt">
                  <w:txbxContent>
                    <w:p w14:paraId="21C14690" w14:textId="77777777" w:rsidR="00445983" w:rsidRPr="002872DD" w:rsidRDefault="00560EFC" w:rsidP="007A12DE">
                      <w:pPr>
                        <w:pStyle w:val="Heading1"/>
                        <w:rPr>
                          <w:rFonts w:ascii="Calibri" w:hAnsi="Calibri"/>
                        </w:rPr>
                      </w:pPr>
                      <w:r>
                        <w:t>Phase 1: Building an Action Team</w:t>
                      </w:r>
                    </w:p>
                  </w:txbxContent>
                </v:textbox>
                <w10:anchorlock/>
              </v:shape>
            </w:pict>
          </mc:Fallback>
        </mc:AlternateContent>
      </w:r>
    </w:p>
    <w:p w14:paraId="2F125590" w14:textId="77777777" w:rsidR="00F02498" w:rsidRPr="007A12DE" w:rsidRDefault="00F02498" w:rsidP="00F23503">
      <w:pPr>
        <w:rPr>
          <w:color w:val="6A2666"/>
          <w:sz w:val="32"/>
          <w:szCs w:val="32"/>
        </w:rPr>
      </w:pPr>
    </w:p>
    <w:p w14:paraId="6D6949AE" w14:textId="77777777" w:rsidR="003A383B" w:rsidRPr="00FB6C0D" w:rsidRDefault="003A383B" w:rsidP="007A12DE">
      <w:pPr>
        <w:pStyle w:val="Heading2"/>
      </w:pPr>
      <w:r w:rsidRPr="00FB6C0D">
        <w:t>Invite potential action team members</w:t>
      </w:r>
    </w:p>
    <w:p w14:paraId="7B3C8647" w14:textId="77777777" w:rsidR="00911500" w:rsidRDefault="00B63355" w:rsidP="00D66409">
      <w:r w:rsidRPr="00FB6C0D">
        <w:t>To develop a dementia friendly community</w:t>
      </w:r>
      <w:r w:rsidR="00346B47" w:rsidRPr="00FB6C0D">
        <w:t xml:space="preserve">, every part </w:t>
      </w:r>
      <w:r w:rsidR="00911500" w:rsidRPr="00FB6C0D">
        <w:t>of the community will need to</w:t>
      </w:r>
      <w:r w:rsidR="00346B47" w:rsidRPr="00FB6C0D">
        <w:t xml:space="preserve"> be represented. </w:t>
      </w:r>
      <w:r w:rsidR="0060510F" w:rsidRPr="00FB6C0D">
        <w:t>Use the Action Team wheel to i</w:t>
      </w:r>
      <w:r w:rsidR="00346B47" w:rsidRPr="00FB6C0D">
        <w:t>dentify</w:t>
      </w:r>
      <w:r w:rsidR="0060510F" w:rsidRPr="00FB6C0D">
        <w:t xml:space="preserve"> a w</w:t>
      </w:r>
      <w:r w:rsidRPr="00FB6C0D">
        <w:t>ide range of</w:t>
      </w:r>
      <w:r w:rsidR="0060510F" w:rsidRPr="00FB6C0D">
        <w:t xml:space="preserve"> stakeholders,</w:t>
      </w:r>
      <w:r w:rsidR="00911500" w:rsidRPr="00FB6C0D">
        <w:t xml:space="preserve"> local opinion leaders</w:t>
      </w:r>
      <w:r w:rsidR="0060510F" w:rsidRPr="00FB6C0D">
        <w:t>,</w:t>
      </w:r>
      <w:r w:rsidR="00911500" w:rsidRPr="00FB6C0D">
        <w:t xml:space="preserve"> and technical experts who can help champion </w:t>
      </w:r>
      <w:r w:rsidR="00346B47" w:rsidRPr="00FB6C0D">
        <w:t>a vision, engage</w:t>
      </w:r>
      <w:r w:rsidRPr="00FB6C0D">
        <w:t xml:space="preserve"> the community</w:t>
      </w:r>
      <w:r w:rsidR="00911500" w:rsidRPr="00FB6C0D">
        <w:t xml:space="preserve">, </w:t>
      </w:r>
      <w:r w:rsidR="00346B47" w:rsidRPr="00FB6C0D">
        <w:t xml:space="preserve">set priorities, and act </w:t>
      </w:r>
      <w:r w:rsidR="00911500" w:rsidRPr="00FB6C0D">
        <w:t>together.</w:t>
      </w:r>
    </w:p>
    <w:p w14:paraId="5BF84B8D" w14:textId="77777777" w:rsidR="00F02498" w:rsidRPr="00FB6C0D" w:rsidRDefault="00F02498" w:rsidP="00832D69"/>
    <w:p w14:paraId="5F774081" w14:textId="77777777" w:rsidR="00156417" w:rsidRPr="00FB6C0D" w:rsidRDefault="00F02498" w:rsidP="00FB6C0D">
      <w:r w:rsidRPr="00FB6C0D">
        <w:rPr>
          <w:noProof/>
        </w:rPr>
        <w:drawing>
          <wp:anchor distT="0" distB="0" distL="114300" distR="114300" simplePos="0" relativeHeight="251658240" behindDoc="0" locked="0" layoutInCell="1" allowOverlap="1" wp14:anchorId="3FD07C6F" wp14:editId="3C427522">
            <wp:simplePos x="0" y="0"/>
            <wp:positionH relativeFrom="column">
              <wp:posOffset>1254760</wp:posOffset>
            </wp:positionH>
            <wp:positionV relativeFrom="paragraph">
              <wp:posOffset>0</wp:posOffset>
            </wp:positionV>
            <wp:extent cx="3891280" cy="38912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met:Users:sneebish:Desktop:Current Projects:ACT on Alzheimer's:From Client:ACT-ActionTeam-10pc.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91280" cy="38912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CF27E5C" w14:textId="77777777" w:rsidR="00B63355" w:rsidRPr="00FB6C0D" w:rsidRDefault="00B63355" w:rsidP="00832D69">
      <w:r w:rsidRPr="00FB6C0D">
        <w:t>Many parts of</w:t>
      </w:r>
      <w:r w:rsidR="00911500" w:rsidRPr="00FB6C0D">
        <w:t xml:space="preserve"> your community have a formal </w:t>
      </w:r>
      <w:r w:rsidRPr="00FB6C0D">
        <w:t xml:space="preserve">or informal </w:t>
      </w:r>
      <w:r w:rsidR="00911500" w:rsidRPr="00FB6C0D">
        <w:t>stake in ensuring that the community is prepared t</w:t>
      </w:r>
      <w:r w:rsidRPr="00FB6C0D">
        <w:t>o support people with dementia or have a concern for the co</w:t>
      </w:r>
      <w:r w:rsidR="006F2E9E" w:rsidRPr="00FB6C0D">
        <w:t>mmunity’s health and viability.</w:t>
      </w:r>
    </w:p>
    <w:p w14:paraId="7DE68608" w14:textId="77777777" w:rsidR="006F2E9E" w:rsidRPr="00100565" w:rsidRDefault="006F2E9E" w:rsidP="00832D69">
      <w:pPr>
        <w:rPr>
          <w:color w:val="FFFFFF"/>
        </w:rPr>
      </w:pPr>
    </w:p>
    <w:p w14:paraId="0FB0CF6E" w14:textId="23F0338F" w:rsidR="006E6C65" w:rsidRDefault="00B63355" w:rsidP="00832D69">
      <w:r w:rsidRPr="00FB6C0D">
        <w:t>The most important team members are people who have had personal experience with dementia, including people with dementia and their caregivers. People who have had friends, family, and neighbors with dementia will have a good understanding of where community supports exist and where they are lacking or missing altogether. Reach</w:t>
      </w:r>
      <w:bookmarkStart w:id="0" w:name="_GoBack"/>
      <w:bookmarkEnd w:id="0"/>
      <w:r w:rsidRPr="00FB6C0D">
        <w:t xml:space="preserve"> these people through the Alzheimer’s Association, dementia and caregiver support groups, faith communities,</w:t>
      </w:r>
      <w:r w:rsidR="006F2E9E" w:rsidRPr="00FB6C0D">
        <w:t xml:space="preserve"> and long term care facilities.</w:t>
      </w:r>
      <w:r w:rsidR="006E6C65">
        <w:br w:type="page"/>
      </w:r>
    </w:p>
    <w:p w14:paraId="0D125F71" w14:textId="77777777" w:rsidR="000122F4" w:rsidRPr="00FB6C0D" w:rsidRDefault="000122F4" w:rsidP="00D66409">
      <w:pPr>
        <w:pStyle w:val="Heading3"/>
      </w:pPr>
      <w:r w:rsidRPr="00FB6C0D">
        <w:lastRenderedPageBreak/>
        <w:t>Others may include:</w:t>
      </w:r>
    </w:p>
    <w:p w14:paraId="14E43989" w14:textId="77777777" w:rsidR="00816A4B" w:rsidRPr="00FB6C0D" w:rsidRDefault="00816A4B" w:rsidP="00FB6C0D"/>
    <w:p w14:paraId="127FFB30" w14:textId="77777777" w:rsidR="000122F4" w:rsidRPr="00FB6C0D" w:rsidRDefault="000122F4" w:rsidP="00710814">
      <w:pPr>
        <w:pStyle w:val="BulletedList"/>
      </w:pPr>
      <w:r w:rsidRPr="00FB6C0D">
        <w:rPr>
          <w:b/>
        </w:rPr>
        <w:t>Health care community</w:t>
      </w:r>
      <w:r w:rsidRPr="00FB6C0D">
        <w:t>: adult day programs; ambulance service/emergency medical technicians; hospitals; clinics; home health agencies; hospice programs; mental health clinics; pharmacies; dental, vision, and hearing professionals; chiropractor</w:t>
      </w:r>
      <w:r w:rsidR="00710814">
        <w:t>s, and community health workers</w:t>
      </w:r>
    </w:p>
    <w:p w14:paraId="52D41FAD" w14:textId="77777777" w:rsidR="000122F4" w:rsidRPr="00FB6C0D" w:rsidRDefault="000122F4" w:rsidP="00710814">
      <w:pPr>
        <w:pStyle w:val="BulletedList"/>
      </w:pPr>
      <w:r w:rsidRPr="006C7D05">
        <w:rPr>
          <w:b/>
        </w:rPr>
        <w:t>Educational institutions</w:t>
      </w:r>
      <w:r w:rsidRPr="00FB6C0D">
        <w:t>: colleges and universities in your comm</w:t>
      </w:r>
      <w:r w:rsidR="00710814">
        <w:t>unity with health care programs</w:t>
      </w:r>
    </w:p>
    <w:p w14:paraId="2ED01560" w14:textId="77777777" w:rsidR="000122F4" w:rsidRPr="00FB6C0D" w:rsidRDefault="000122F4" w:rsidP="00710814">
      <w:pPr>
        <w:pStyle w:val="BulletedList"/>
      </w:pPr>
      <w:r w:rsidRPr="00FB6C0D">
        <w:rPr>
          <w:b/>
        </w:rPr>
        <w:t>Government agencies/departments</w:t>
      </w:r>
      <w:r w:rsidRPr="00FB6C0D">
        <w:t>: city council, community planning and development; health services, social services, city/county inspection offices, police/sheriff, fire, motor vehicle; transportation; housing</w:t>
      </w:r>
    </w:p>
    <w:p w14:paraId="7FD0E26E" w14:textId="77777777" w:rsidR="000122F4" w:rsidRPr="00FB6C0D" w:rsidRDefault="000122F4" w:rsidP="00710814">
      <w:pPr>
        <w:pStyle w:val="BulletedList"/>
      </w:pPr>
      <w:r w:rsidRPr="00FB6C0D">
        <w:rPr>
          <w:b/>
        </w:rPr>
        <w:t>Nonprofits or faith-based organizations that serve seniors and/or people with disabilities</w:t>
      </w:r>
      <w:r w:rsidRPr="00FB6C0D">
        <w:t>: Alzheimer’s Association, AARP, Meals on Wheels, Catholic Charities, senior companion programs</w:t>
      </w:r>
    </w:p>
    <w:p w14:paraId="0B8B9F02" w14:textId="77777777" w:rsidR="000122F4" w:rsidRPr="00FB6C0D" w:rsidRDefault="000122F4" w:rsidP="00710814">
      <w:pPr>
        <w:pStyle w:val="BulletedList"/>
      </w:pPr>
      <w:r w:rsidRPr="00FB6C0D">
        <w:rPr>
          <w:b/>
        </w:rPr>
        <w:t>Residential settings</w:t>
      </w:r>
      <w:r w:rsidRPr="00FB6C0D">
        <w:t>: single family and congregate residences, independent apartments, assisted living, respite care, and nursing homes</w:t>
      </w:r>
    </w:p>
    <w:p w14:paraId="065FCBBF" w14:textId="77777777" w:rsidR="000122F4" w:rsidRPr="00FB6C0D" w:rsidRDefault="000122F4" w:rsidP="00710814">
      <w:pPr>
        <w:pStyle w:val="BulletedList"/>
      </w:pPr>
      <w:r w:rsidRPr="00FB6C0D">
        <w:rPr>
          <w:b/>
        </w:rPr>
        <w:t>Senior service providers</w:t>
      </w:r>
      <w:r w:rsidRPr="00FB6C0D">
        <w:t>: senior centers, Area Agency on Aging, independence at home services (chores, home safety, meal delivery)</w:t>
      </w:r>
    </w:p>
    <w:p w14:paraId="241824D2" w14:textId="77777777" w:rsidR="000122F4" w:rsidRPr="00FB6C0D" w:rsidRDefault="000122F4" w:rsidP="00710814">
      <w:pPr>
        <w:pStyle w:val="BulletedList"/>
      </w:pPr>
      <w:r w:rsidRPr="00FB6C0D">
        <w:rPr>
          <w:b/>
        </w:rPr>
        <w:t>Businesses</w:t>
      </w:r>
      <w:r w:rsidRPr="00FB6C0D">
        <w:t>: Banks, business associations, chambers of commerce, employers/human resources, retail, restaurants, realtors, insurance agents, barber shops/hair salons, grocery stores, post office, landlords</w:t>
      </w:r>
    </w:p>
    <w:p w14:paraId="4D495C3D" w14:textId="77777777" w:rsidR="000122F4" w:rsidRPr="00FB6C0D" w:rsidRDefault="000122F4" w:rsidP="00710814">
      <w:pPr>
        <w:pStyle w:val="BulletedList"/>
      </w:pPr>
      <w:r w:rsidRPr="00FB6C0D">
        <w:rPr>
          <w:b/>
        </w:rPr>
        <w:t>Charitable or fraternal organizations/community service clubs</w:t>
      </w:r>
      <w:r w:rsidRPr="00FB6C0D">
        <w:t>: Kiwanis, Knights of Columbus, Lions, Rotary International, Fraternal Order of Eagles, Optimist Club, Elks Club, veteran service organizations, youth groups</w:t>
      </w:r>
    </w:p>
    <w:p w14:paraId="126462BC" w14:textId="77777777" w:rsidR="000122F4" w:rsidRPr="00FB6C0D" w:rsidRDefault="000122F4" w:rsidP="00710814">
      <w:pPr>
        <w:pStyle w:val="BulletedList"/>
      </w:pPr>
      <w:r w:rsidRPr="00FB6C0D">
        <w:rPr>
          <w:b/>
        </w:rPr>
        <w:t>Diverse and underserved populations</w:t>
      </w:r>
      <w:r w:rsidRPr="00FB6C0D">
        <w:t>: Ethnic, racial, cultural, and linguistic organizations; organizations serving low income populations</w:t>
      </w:r>
    </w:p>
    <w:p w14:paraId="302C8038" w14:textId="77777777" w:rsidR="000122F4" w:rsidRPr="00FB6C0D" w:rsidRDefault="000122F4" w:rsidP="00710814">
      <w:pPr>
        <w:pStyle w:val="BulletedList"/>
      </w:pPr>
      <w:r w:rsidRPr="00FB6C0D">
        <w:rPr>
          <w:b/>
        </w:rPr>
        <w:t>Advanced planning industry</w:t>
      </w:r>
      <w:r w:rsidRPr="00FB6C0D">
        <w:t>: Financial, legal, and advanced care planning professionals</w:t>
      </w:r>
    </w:p>
    <w:p w14:paraId="363FA77B" w14:textId="77777777" w:rsidR="000122F4" w:rsidRPr="00FB6C0D" w:rsidRDefault="000122F4" w:rsidP="00710814">
      <w:pPr>
        <w:pStyle w:val="BulletedList"/>
      </w:pPr>
      <w:r w:rsidRPr="00FB6C0D">
        <w:rPr>
          <w:b/>
        </w:rPr>
        <w:t>Faith leaders</w:t>
      </w:r>
      <w:r w:rsidRPr="00FB6C0D">
        <w:t xml:space="preserve">: ministerial association, churches, synagogues, mosques, temples, other houses of worship, congregational </w:t>
      </w:r>
      <w:proofErr w:type="gramStart"/>
      <w:r w:rsidRPr="00FB6C0D">
        <w:t>groups ,</w:t>
      </w:r>
      <w:proofErr w:type="gramEnd"/>
      <w:r w:rsidRPr="00FB6C0D">
        <w:t xml:space="preserve"> parish nurses</w:t>
      </w:r>
    </w:p>
    <w:p w14:paraId="4308E9EF" w14:textId="77777777" w:rsidR="00816A4B" w:rsidRPr="00FB6C0D" w:rsidRDefault="000122F4" w:rsidP="00710814">
      <w:pPr>
        <w:pStyle w:val="BulletedList"/>
      </w:pPr>
      <w:r w:rsidRPr="00FB6C0D">
        <w:rPr>
          <w:b/>
        </w:rPr>
        <w:t>Wellness programs</w:t>
      </w:r>
      <w:r w:rsidRPr="00FB6C0D">
        <w:t>: fitness centers, YMCA, YWCA, farmers markets and others</w:t>
      </w:r>
    </w:p>
    <w:p w14:paraId="48033DE8" w14:textId="77777777" w:rsidR="000122F4" w:rsidRPr="00FB6C0D" w:rsidRDefault="000122F4" w:rsidP="00710814">
      <w:pPr>
        <w:pStyle w:val="BulletedList"/>
      </w:pPr>
      <w:r w:rsidRPr="00FB6C0D">
        <w:rPr>
          <w:b/>
        </w:rPr>
        <w:t>Community engagement organizations</w:t>
      </w:r>
      <w:r w:rsidRPr="00FB6C0D">
        <w:t xml:space="preserve">: art or music organizations, museums, libraries, intergenerational opportunities with schools </w:t>
      </w:r>
      <w:proofErr w:type="gramStart"/>
      <w:r w:rsidRPr="00FB6C0D">
        <w:t>Pre K</w:t>
      </w:r>
      <w:proofErr w:type="gramEnd"/>
      <w:r w:rsidRPr="00FB6C0D">
        <w:t>-12, parks and recreation, organizations that facilitate connections with animals, outdoors, nature</w:t>
      </w:r>
    </w:p>
    <w:p w14:paraId="3F6ABD15" w14:textId="77777777" w:rsidR="00816A4B" w:rsidRPr="00FB6C0D" w:rsidRDefault="00816A4B" w:rsidP="00FB6C0D"/>
    <w:p w14:paraId="7CE49343" w14:textId="77777777" w:rsidR="00816A4B" w:rsidRPr="00FB6C0D" w:rsidRDefault="00816A4B" w:rsidP="00FB6C0D"/>
    <w:sectPr w:rsidR="00816A4B" w:rsidRPr="00FB6C0D" w:rsidSect="009B7267">
      <w:footerReference w:type="default" r:id="rId12"/>
      <w:headerReference w:type="first" r:id="rId13"/>
      <w:footerReference w:type="first" r:id="rId14"/>
      <w:pgSz w:w="12240" w:h="15840"/>
      <w:pgMar w:top="1080" w:right="1080" w:bottom="21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E06E" w14:textId="77777777" w:rsidR="00184190" w:rsidRDefault="00184190" w:rsidP="00FD599C">
      <w:r>
        <w:separator/>
      </w:r>
    </w:p>
    <w:p w14:paraId="352AB281" w14:textId="77777777" w:rsidR="00184190" w:rsidRDefault="00184190"/>
    <w:p w14:paraId="420ED0D6" w14:textId="77777777" w:rsidR="00184190" w:rsidRDefault="00184190"/>
  </w:endnote>
  <w:endnote w:type="continuationSeparator" w:id="0">
    <w:p w14:paraId="20E427AF" w14:textId="77777777" w:rsidR="00184190" w:rsidRDefault="00184190" w:rsidP="00FD599C">
      <w:r>
        <w:continuationSeparator/>
      </w:r>
    </w:p>
    <w:p w14:paraId="6BD331D3" w14:textId="77777777" w:rsidR="00184190" w:rsidRDefault="00184190"/>
    <w:p w14:paraId="202B4FE9" w14:textId="77777777" w:rsidR="00184190" w:rsidRDefault="00184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6159" w14:textId="77777777" w:rsidR="007228C3" w:rsidRPr="007E5E45" w:rsidRDefault="007228C3" w:rsidP="00DE33E4">
    <w:pPr>
      <w:tabs>
        <w:tab w:val="center" w:pos="5040"/>
        <w:tab w:val="right" w:pos="10080"/>
      </w:tabs>
      <w:spacing w:after="60"/>
      <w:rPr>
        <w:rFonts w:eastAsia="Cambria"/>
        <w:sz w:val="17"/>
        <w:szCs w:val="17"/>
      </w:rPr>
    </w:pPr>
    <w:r w:rsidRPr="007E5E45">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913A4E" w:rsidRPr="007E5E45">
      <w:rPr>
        <w:rFonts w:eastAsia="Cambria"/>
        <w:sz w:val="17"/>
        <w:szCs w:val="17"/>
      </w:rPr>
      <w:fldChar w:fldCharType="begin"/>
    </w:r>
    <w:r w:rsidRPr="007E5E45">
      <w:rPr>
        <w:rFonts w:eastAsia="Cambria"/>
        <w:sz w:val="17"/>
        <w:szCs w:val="17"/>
      </w:rPr>
      <w:instrText xml:space="preserve"> PAGE </w:instrText>
    </w:r>
    <w:r w:rsidR="00913A4E" w:rsidRPr="007E5E45">
      <w:rPr>
        <w:rFonts w:eastAsia="Cambria"/>
        <w:sz w:val="17"/>
        <w:szCs w:val="17"/>
      </w:rPr>
      <w:fldChar w:fldCharType="separate"/>
    </w:r>
    <w:r w:rsidR="00DD55A0">
      <w:rPr>
        <w:rFonts w:eastAsia="Cambria"/>
        <w:noProof/>
        <w:sz w:val="17"/>
        <w:szCs w:val="17"/>
      </w:rPr>
      <w:t>2</w:t>
    </w:r>
    <w:r w:rsidR="00913A4E" w:rsidRPr="007E5E45">
      <w:rPr>
        <w:rFonts w:eastAsia="Cambria"/>
        <w:sz w:val="17"/>
        <w:szCs w:val="17"/>
      </w:rPr>
      <w:fldChar w:fldCharType="end"/>
    </w:r>
    <w:r w:rsidRPr="007E5E45">
      <w:rPr>
        <w:rFonts w:eastAsia="Cambria"/>
        <w:sz w:val="17"/>
        <w:szCs w:val="17"/>
      </w:rPr>
      <w:t xml:space="preserve"> of </w:t>
    </w:r>
    <w:r w:rsidR="00913A4E" w:rsidRPr="007E5E45">
      <w:rPr>
        <w:rFonts w:eastAsia="Cambria"/>
        <w:sz w:val="17"/>
        <w:szCs w:val="17"/>
      </w:rPr>
      <w:fldChar w:fldCharType="begin"/>
    </w:r>
    <w:r w:rsidRPr="007E5E45">
      <w:rPr>
        <w:rFonts w:eastAsia="Cambria"/>
        <w:sz w:val="17"/>
        <w:szCs w:val="17"/>
      </w:rPr>
      <w:instrText xml:space="preserve"> NUMPAGES </w:instrText>
    </w:r>
    <w:r w:rsidR="00913A4E" w:rsidRPr="007E5E45">
      <w:rPr>
        <w:rFonts w:eastAsia="Cambria"/>
        <w:sz w:val="17"/>
        <w:szCs w:val="17"/>
      </w:rPr>
      <w:fldChar w:fldCharType="separate"/>
    </w:r>
    <w:r w:rsidR="00DD55A0">
      <w:rPr>
        <w:rFonts w:eastAsia="Cambria"/>
        <w:noProof/>
        <w:sz w:val="17"/>
        <w:szCs w:val="17"/>
      </w:rPr>
      <w:t>2</w:t>
    </w:r>
    <w:r w:rsidR="00913A4E" w:rsidRPr="007E5E45">
      <w:rPr>
        <w:rFonts w:eastAsia="Cambria"/>
        <w:sz w:val="17"/>
        <w:szCs w:val="17"/>
      </w:rPr>
      <w:fldChar w:fldCharType="end"/>
    </w:r>
  </w:p>
  <w:p w14:paraId="1B266708" w14:textId="77777777" w:rsidR="007228C3" w:rsidRDefault="007228C3" w:rsidP="004B3904">
    <w:pPr>
      <w:tabs>
        <w:tab w:val="center" w:pos="5040"/>
        <w:tab w:val="right" w:pos="10080"/>
      </w:tabs>
      <w:jc w:val="center"/>
      <w:rPr>
        <w:rFonts w:eastAsia="Cambria"/>
        <w:iCs/>
        <w:sz w:val="17"/>
        <w:szCs w:val="17"/>
      </w:rPr>
    </w:pPr>
    <w:r>
      <w:rPr>
        <w:noProof/>
      </w:rPr>
      <w:drawing>
        <wp:anchor distT="0" distB="0" distL="114300" distR="114300" simplePos="0" relativeHeight="251669504" behindDoc="0" locked="0" layoutInCell="1" allowOverlap="1" wp14:anchorId="7042755E" wp14:editId="409D98B3">
          <wp:simplePos x="0" y="0"/>
          <wp:positionH relativeFrom="column">
            <wp:posOffset>-69850</wp:posOffset>
          </wp:positionH>
          <wp:positionV relativeFrom="paragraph">
            <wp:posOffset>46355</wp:posOffset>
          </wp:positionV>
          <wp:extent cx="594995" cy="594995"/>
          <wp:effectExtent l="0" t="0" r="0" b="0"/>
          <wp:wrapThrough wrapText="bothSides">
            <wp:wrapPolygon edited="0">
              <wp:start x="0" y="0"/>
              <wp:lineTo x="0" y="20286"/>
              <wp:lineTo x="20286" y="20286"/>
              <wp:lineTo x="20286" y="0"/>
              <wp:lineTo x="0" y="0"/>
            </wp:wrapPolygon>
          </wp:wrapThrough>
          <wp:docPr id="6" name="Picture 6" descr="Description: SpongeBob:Users:sneebish:Desktop:Current Projects:ACT on Alzheimer's:From Client:Logo Kit:ACT-Logo-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78F7E71C" wp14:editId="596A2670">
          <wp:simplePos x="0" y="0"/>
          <wp:positionH relativeFrom="column">
            <wp:posOffset>5867400</wp:posOffset>
          </wp:positionH>
          <wp:positionV relativeFrom="paragraph">
            <wp:posOffset>71120</wp:posOffset>
          </wp:positionV>
          <wp:extent cx="594995" cy="544195"/>
          <wp:effectExtent l="0" t="0" r="0" b="0"/>
          <wp:wrapThrough wrapText="bothSides">
            <wp:wrapPolygon edited="0">
              <wp:start x="0" y="0"/>
              <wp:lineTo x="0" y="20163"/>
              <wp:lineTo x="20286" y="20163"/>
              <wp:lineTo x="202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ongeBob:Users:sneebish:Desktop:Current Projects:ACT on Alzheimer's:From Client:Logo Kit:ACT-Logo-Registered.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4995" cy="544195"/>
                  </a:xfrm>
                  <a:prstGeom prst="rect">
                    <a:avLst/>
                  </a:prstGeom>
                  <a:noFill/>
                  <a:ln>
                    <a:noFill/>
                  </a:ln>
                </pic:spPr>
              </pic:pic>
            </a:graphicData>
          </a:graphic>
        </wp:anchor>
      </w:drawing>
    </w:r>
  </w:p>
  <w:p w14:paraId="2B4B4D43" w14:textId="77777777" w:rsidR="007228C3" w:rsidRDefault="007228C3" w:rsidP="004B3904">
    <w:pPr>
      <w:tabs>
        <w:tab w:val="center" w:pos="5040"/>
        <w:tab w:val="right" w:pos="10080"/>
      </w:tabs>
      <w:jc w:val="center"/>
      <w:rPr>
        <w:rFonts w:eastAsia="Cambria"/>
        <w:iCs/>
        <w:sz w:val="17"/>
        <w:szCs w:val="17"/>
      </w:rPr>
    </w:pPr>
  </w:p>
  <w:p w14:paraId="02DFD564" w14:textId="77777777" w:rsidR="007228C3" w:rsidRDefault="007228C3" w:rsidP="004B3904">
    <w:pPr>
      <w:tabs>
        <w:tab w:val="center" w:pos="5040"/>
        <w:tab w:val="right" w:pos="10080"/>
      </w:tabs>
      <w:jc w:val="center"/>
      <w:rPr>
        <w:rFonts w:eastAsia="Cambria"/>
        <w:iCs/>
        <w:sz w:val="17"/>
        <w:szCs w:val="17"/>
      </w:rPr>
    </w:pPr>
    <w:r w:rsidRPr="007E5E45">
      <w:rPr>
        <w:rFonts w:eastAsia="Cambria"/>
        <w:iCs/>
        <w:sz w:val="17"/>
        <w:szCs w:val="17"/>
      </w:rPr>
      <w:t>Original toolkit development was supported by funding from the Greater Twin Cities United Way</w:t>
    </w:r>
    <w:r>
      <w:rPr>
        <w:rFonts w:eastAsia="Cambria"/>
        <w:iCs/>
        <w:sz w:val="17"/>
        <w:szCs w:val="17"/>
      </w:rPr>
      <w:br/>
      <w:t>and later</w:t>
    </w:r>
    <w:r w:rsidRPr="007E5E45">
      <w:rPr>
        <w:rFonts w:eastAsia="Cambria"/>
        <w:iCs/>
        <w:sz w:val="17"/>
        <w:szCs w:val="17"/>
      </w:rPr>
      <w:t xml:space="preserve"> adapted from ACT on Alzheimer’s® developed tools and resources.</w:t>
    </w:r>
    <w:r>
      <w:rPr>
        <w:rFonts w:eastAsia="Cambria"/>
        <w:iCs/>
        <w:sz w:val="17"/>
        <w:szCs w:val="17"/>
      </w:rPr>
      <w:t xml:space="preserve"> Rev. 11/10/15</w:t>
    </w:r>
  </w:p>
  <w:p w14:paraId="600A0CD5" w14:textId="77777777" w:rsidR="007228C3" w:rsidRDefault="007228C3" w:rsidP="003B05CE">
    <w:pPr>
      <w:tabs>
        <w:tab w:val="center" w:pos="504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8CEF" w14:textId="77777777" w:rsidR="007228C3" w:rsidRPr="00414871" w:rsidRDefault="007228C3" w:rsidP="00414871">
    <w:pPr>
      <w:tabs>
        <w:tab w:val="center" w:pos="5040"/>
        <w:tab w:val="right" w:pos="10080"/>
      </w:tabs>
      <w:spacing w:after="60"/>
      <w:rPr>
        <w:rFonts w:eastAsia="Cambria"/>
        <w:sz w:val="17"/>
        <w:szCs w:val="17"/>
      </w:rPr>
    </w:pPr>
    <w:r w:rsidRPr="007E5E45">
      <w:rPr>
        <w:rFonts w:eastAsia="Cambria"/>
        <w:sz w:val="17"/>
        <w:szCs w:val="17"/>
      </w:rPr>
      <w:t>©</w:t>
    </w:r>
    <w:r>
      <w:rPr>
        <w:rFonts w:eastAsia="Cambria"/>
        <w:sz w:val="17"/>
        <w:szCs w:val="17"/>
      </w:rPr>
      <w:t>2015</w:t>
    </w:r>
    <w:r w:rsidRPr="007E5E45">
      <w:rPr>
        <w:rFonts w:eastAsia="Cambria"/>
        <w:sz w:val="17"/>
        <w:szCs w:val="17"/>
      </w:rPr>
      <w:tab/>
    </w:r>
    <w:r w:rsidRPr="002C42FA">
      <w:rPr>
        <w:rFonts w:eastAsia="Cambria"/>
        <w:b/>
        <w:sz w:val="17"/>
        <w:szCs w:val="17"/>
      </w:rPr>
      <w:t>dfamerica.org</w:t>
    </w:r>
    <w:r w:rsidRPr="007E5E45">
      <w:rPr>
        <w:rFonts w:eastAsia="Cambria"/>
        <w:sz w:val="17"/>
        <w:szCs w:val="17"/>
      </w:rPr>
      <w:tab/>
      <w:t xml:space="preserve">Page </w:t>
    </w:r>
    <w:r w:rsidR="00913A4E" w:rsidRPr="007E5E45">
      <w:rPr>
        <w:rFonts w:eastAsia="Cambria"/>
        <w:sz w:val="17"/>
        <w:szCs w:val="17"/>
      </w:rPr>
      <w:fldChar w:fldCharType="begin"/>
    </w:r>
    <w:r w:rsidRPr="007E5E45">
      <w:rPr>
        <w:rFonts w:eastAsia="Cambria"/>
        <w:sz w:val="17"/>
        <w:szCs w:val="17"/>
      </w:rPr>
      <w:instrText xml:space="preserve"> PAGE </w:instrText>
    </w:r>
    <w:r w:rsidR="00913A4E" w:rsidRPr="007E5E45">
      <w:rPr>
        <w:rFonts w:eastAsia="Cambria"/>
        <w:sz w:val="17"/>
        <w:szCs w:val="17"/>
      </w:rPr>
      <w:fldChar w:fldCharType="separate"/>
    </w:r>
    <w:r w:rsidR="00DD55A0">
      <w:rPr>
        <w:rFonts w:eastAsia="Cambria"/>
        <w:noProof/>
        <w:sz w:val="17"/>
        <w:szCs w:val="17"/>
      </w:rPr>
      <w:t>1</w:t>
    </w:r>
    <w:r w:rsidR="00913A4E" w:rsidRPr="007E5E45">
      <w:rPr>
        <w:rFonts w:eastAsia="Cambria"/>
        <w:sz w:val="17"/>
        <w:szCs w:val="17"/>
      </w:rPr>
      <w:fldChar w:fldCharType="end"/>
    </w:r>
    <w:r w:rsidRPr="007E5E45">
      <w:rPr>
        <w:rFonts w:eastAsia="Cambria"/>
        <w:sz w:val="17"/>
        <w:szCs w:val="17"/>
      </w:rPr>
      <w:t xml:space="preserve"> of </w:t>
    </w:r>
    <w:r w:rsidR="00913A4E" w:rsidRPr="007E5E45">
      <w:rPr>
        <w:rFonts w:eastAsia="Cambria"/>
        <w:sz w:val="17"/>
        <w:szCs w:val="17"/>
      </w:rPr>
      <w:fldChar w:fldCharType="begin"/>
    </w:r>
    <w:r w:rsidRPr="007E5E45">
      <w:rPr>
        <w:rFonts w:eastAsia="Cambria"/>
        <w:sz w:val="17"/>
        <w:szCs w:val="17"/>
      </w:rPr>
      <w:instrText xml:space="preserve"> NUMPAGES </w:instrText>
    </w:r>
    <w:r w:rsidR="00913A4E" w:rsidRPr="007E5E45">
      <w:rPr>
        <w:rFonts w:eastAsia="Cambria"/>
        <w:sz w:val="17"/>
        <w:szCs w:val="17"/>
      </w:rPr>
      <w:fldChar w:fldCharType="separate"/>
    </w:r>
    <w:r w:rsidR="00DD55A0">
      <w:rPr>
        <w:rFonts w:eastAsia="Cambria"/>
        <w:noProof/>
        <w:sz w:val="17"/>
        <w:szCs w:val="17"/>
      </w:rPr>
      <w:t>2</w:t>
    </w:r>
    <w:r w:rsidR="00913A4E" w:rsidRPr="007E5E45">
      <w:rPr>
        <w:rFonts w:eastAsia="Cambria"/>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65C7" w14:textId="77777777" w:rsidR="00184190" w:rsidRDefault="00184190" w:rsidP="00FD599C">
      <w:r>
        <w:separator/>
      </w:r>
    </w:p>
    <w:p w14:paraId="4411679F" w14:textId="77777777" w:rsidR="00184190" w:rsidRDefault="00184190"/>
    <w:p w14:paraId="6AC120EA" w14:textId="77777777" w:rsidR="00184190" w:rsidRDefault="00184190"/>
  </w:footnote>
  <w:footnote w:type="continuationSeparator" w:id="0">
    <w:p w14:paraId="640879A6" w14:textId="77777777" w:rsidR="00184190" w:rsidRDefault="00184190" w:rsidP="00FD599C">
      <w:r>
        <w:continuationSeparator/>
      </w:r>
    </w:p>
    <w:p w14:paraId="342FCD1E" w14:textId="77777777" w:rsidR="00184190" w:rsidRDefault="00184190"/>
    <w:p w14:paraId="28DCBC62" w14:textId="77777777" w:rsidR="00184190" w:rsidRDefault="00184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FF69" w14:textId="77777777" w:rsidR="007228C3" w:rsidRDefault="00B854B3" w:rsidP="00CA6C6E">
    <w:pPr>
      <w:jc w:val="center"/>
    </w:pPr>
    <w:r>
      <w:rPr>
        <w:noProof/>
      </w:rPr>
      <w:drawing>
        <wp:anchor distT="0" distB="0" distL="114300" distR="114300" simplePos="0" relativeHeight="251667456" behindDoc="0" locked="0" layoutInCell="1" allowOverlap="1" wp14:anchorId="58518DE6" wp14:editId="4BBD8A05">
          <wp:simplePos x="0" y="0"/>
          <wp:positionH relativeFrom="column">
            <wp:posOffset>74295</wp:posOffset>
          </wp:positionH>
          <wp:positionV relativeFrom="paragraph">
            <wp:posOffset>107372</wp:posOffset>
          </wp:positionV>
          <wp:extent cx="1914525" cy="6672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smet:Users:sneebish:Desktop:Dropbox:Current Projects:Dementia Friendly America:DFA_logo_T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4525" cy="66727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4164B703" wp14:editId="4FCDB5B8">
              <wp:simplePos x="0" y="0"/>
              <wp:positionH relativeFrom="column">
                <wp:posOffset>3841750</wp:posOffset>
              </wp:positionH>
              <wp:positionV relativeFrom="paragraph">
                <wp:posOffset>114300</wp:posOffset>
              </wp:positionV>
              <wp:extent cx="2628900" cy="8001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D8DB57" w14:textId="77777777"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4B703" id="_x0000_t202" coordsize="21600,21600" o:spt="202" path="m,l,21600r21600,l21600,xe">
              <v:stroke joinstyle="miter"/>
              <v:path gradientshapeok="t" o:connecttype="rect"/>
            </v:shapetype>
            <v:shape id="Text Box 7" o:spid="_x0000_s1027" type="#_x0000_t202" style="position:absolute;left:0;text-align:left;margin-left:302.5pt;margin-top:9pt;width:207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" filled="f" stroked="f">
              <v:textbox>
                <w:txbxContent>
                  <w:p w14:paraId="0CD8DB57" w14:textId="77777777" w:rsidR="007228C3" w:rsidRPr="00523F9C" w:rsidRDefault="007228C3" w:rsidP="00E408A7">
                    <w:pPr>
                      <w:spacing w:line="216" w:lineRule="auto"/>
                      <w:jc w:val="center"/>
                      <w:rPr>
                        <w:color w:val="E9452A"/>
                        <w:sz w:val="44"/>
                        <w:szCs w:val="44"/>
                      </w:rPr>
                    </w:pPr>
                    <w:r w:rsidRPr="00523F9C">
                      <w:rPr>
                        <w:color w:val="E9452A"/>
                        <w:sz w:val="44"/>
                        <w:szCs w:val="44"/>
                      </w:rPr>
                      <w:t>Dementia Friendly Communities Toolkit</w:t>
                    </w:r>
                  </w:p>
                </w:txbxContent>
              </v:textbox>
              <w10:wrap type="square"/>
            </v:shape>
          </w:pict>
        </mc:Fallback>
      </mc:AlternateContent>
    </w:r>
  </w:p>
  <w:p w14:paraId="69F05D3F" w14:textId="77777777" w:rsidR="007228C3" w:rsidRDefault="007228C3" w:rsidP="00CA6C6E">
    <w:pPr>
      <w:jc w:val="center"/>
    </w:pPr>
  </w:p>
  <w:p w14:paraId="45362EA0" w14:textId="77777777" w:rsidR="007228C3" w:rsidRDefault="007228C3" w:rsidP="00CA6C6E">
    <w:pPr>
      <w:jc w:val="center"/>
    </w:pPr>
  </w:p>
  <w:p w14:paraId="4AA789D0" w14:textId="77777777" w:rsidR="007228C3" w:rsidRDefault="007228C3" w:rsidP="00CA6C6E">
    <w:pPr>
      <w:jc w:val="center"/>
    </w:pPr>
  </w:p>
  <w:p w14:paraId="185EDAAA" w14:textId="77777777" w:rsidR="007228C3" w:rsidRDefault="007228C3" w:rsidP="00CA6C6E">
    <w:pPr>
      <w:jc w:val="center"/>
    </w:pPr>
  </w:p>
  <w:p w14:paraId="09F76708" w14:textId="77777777" w:rsidR="007228C3" w:rsidRDefault="007228C3" w:rsidP="00CA6C6E">
    <w:pPr>
      <w:jc w:val="center"/>
    </w:pPr>
  </w:p>
  <w:p w14:paraId="73384504" w14:textId="77777777" w:rsidR="007228C3" w:rsidRDefault="007228C3" w:rsidP="00CA6C6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04C"/>
    <w:multiLevelType w:val="hybridMultilevel"/>
    <w:tmpl w:val="46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6058"/>
    <w:multiLevelType w:val="hybridMultilevel"/>
    <w:tmpl w:val="C08A0F3C"/>
    <w:lvl w:ilvl="0" w:tplc="60A4F830">
      <w:numFmt w:val="bullet"/>
      <w:lvlText w:val="-"/>
      <w:lvlJc w:val="left"/>
      <w:pPr>
        <w:ind w:left="186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15:restartNumberingAfterBreak="0">
    <w:nsid w:val="10595F19"/>
    <w:multiLevelType w:val="hybridMultilevel"/>
    <w:tmpl w:val="A1C4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D81"/>
    <w:multiLevelType w:val="hybridMultilevel"/>
    <w:tmpl w:val="DF020758"/>
    <w:lvl w:ilvl="0" w:tplc="60A4F830">
      <w:numFmt w:val="bullet"/>
      <w:lvlText w:val="-"/>
      <w:lvlJc w:val="left"/>
      <w:pPr>
        <w:ind w:left="390" w:hanging="360"/>
      </w:pPr>
      <w:rPr>
        <w:rFonts w:ascii="Calibri" w:eastAsiaTheme="minorHAnsi" w:hAnsi="Calibri" w:cstheme="minorBid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17B52953"/>
    <w:multiLevelType w:val="hybridMultilevel"/>
    <w:tmpl w:val="1786F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525DB"/>
    <w:multiLevelType w:val="hybridMultilevel"/>
    <w:tmpl w:val="EF2A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11322F"/>
    <w:multiLevelType w:val="hybridMultilevel"/>
    <w:tmpl w:val="DC66B7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22E6C"/>
    <w:multiLevelType w:val="hybridMultilevel"/>
    <w:tmpl w:val="CACC9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1374"/>
    <w:multiLevelType w:val="hybridMultilevel"/>
    <w:tmpl w:val="17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F0181"/>
    <w:multiLevelType w:val="hybridMultilevel"/>
    <w:tmpl w:val="AC1085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6A79BD"/>
    <w:multiLevelType w:val="multilevel"/>
    <w:tmpl w:val="09847014"/>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D27989"/>
    <w:multiLevelType w:val="hybridMultilevel"/>
    <w:tmpl w:val="A38A6A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E7D3D"/>
    <w:multiLevelType w:val="hybridMultilevel"/>
    <w:tmpl w:val="C696FEB0"/>
    <w:lvl w:ilvl="0" w:tplc="02EC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816B2"/>
    <w:multiLevelType w:val="hybridMultilevel"/>
    <w:tmpl w:val="D73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82FF9"/>
    <w:multiLevelType w:val="hybridMultilevel"/>
    <w:tmpl w:val="556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E2B53"/>
    <w:multiLevelType w:val="hybridMultilevel"/>
    <w:tmpl w:val="733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15CBC"/>
    <w:multiLevelType w:val="hybridMultilevel"/>
    <w:tmpl w:val="E37A7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2311F2"/>
    <w:multiLevelType w:val="hybridMultilevel"/>
    <w:tmpl w:val="FECC8426"/>
    <w:lvl w:ilvl="0" w:tplc="22D2135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B22DF3"/>
    <w:multiLevelType w:val="multilevel"/>
    <w:tmpl w:val="5F3043A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F234F7"/>
    <w:multiLevelType w:val="hybridMultilevel"/>
    <w:tmpl w:val="923EFAF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27506D"/>
    <w:multiLevelType w:val="hybridMultilevel"/>
    <w:tmpl w:val="6504A49C"/>
    <w:lvl w:ilvl="0" w:tplc="60A4F83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9725A89"/>
    <w:multiLevelType w:val="hybridMultilevel"/>
    <w:tmpl w:val="0A8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F4380"/>
    <w:multiLevelType w:val="hybridMultilevel"/>
    <w:tmpl w:val="8F3A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3764D"/>
    <w:multiLevelType w:val="hybridMultilevel"/>
    <w:tmpl w:val="5F3043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5333C7"/>
    <w:multiLevelType w:val="hybridMultilevel"/>
    <w:tmpl w:val="44FA87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4CF5530"/>
    <w:multiLevelType w:val="hybridMultilevel"/>
    <w:tmpl w:val="4302FA8C"/>
    <w:lvl w:ilvl="0" w:tplc="E0D4B27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63D6B"/>
    <w:multiLevelType w:val="hybridMultilevel"/>
    <w:tmpl w:val="06D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E75CB"/>
    <w:multiLevelType w:val="hybridMultilevel"/>
    <w:tmpl w:val="FE825EE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8731CC5"/>
    <w:multiLevelType w:val="hybridMultilevel"/>
    <w:tmpl w:val="AE4ADF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004694"/>
    <w:multiLevelType w:val="hybridMultilevel"/>
    <w:tmpl w:val="80083EE2"/>
    <w:lvl w:ilvl="0" w:tplc="CCDA3D3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D168B"/>
    <w:multiLevelType w:val="hybridMultilevel"/>
    <w:tmpl w:val="2FC05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0"/>
  </w:num>
  <w:num w:numId="4">
    <w:abstractNumId w:val="8"/>
  </w:num>
  <w:num w:numId="5">
    <w:abstractNumId w:val="26"/>
  </w:num>
  <w:num w:numId="6">
    <w:abstractNumId w:val="22"/>
  </w:num>
  <w:num w:numId="7">
    <w:abstractNumId w:val="24"/>
  </w:num>
  <w:num w:numId="8">
    <w:abstractNumId w:val="9"/>
  </w:num>
  <w:num w:numId="9">
    <w:abstractNumId w:val="28"/>
  </w:num>
  <w:num w:numId="10">
    <w:abstractNumId w:val="5"/>
  </w:num>
  <w:num w:numId="11">
    <w:abstractNumId w:val="16"/>
  </w:num>
  <w:num w:numId="12">
    <w:abstractNumId w:val="21"/>
  </w:num>
  <w:num w:numId="13">
    <w:abstractNumId w:val="2"/>
  </w:num>
  <w:num w:numId="14">
    <w:abstractNumId w:val="27"/>
  </w:num>
  <w:num w:numId="15">
    <w:abstractNumId w:val="6"/>
  </w:num>
  <w:num w:numId="16">
    <w:abstractNumId w:val="4"/>
  </w:num>
  <w:num w:numId="17">
    <w:abstractNumId w:val="7"/>
  </w:num>
  <w:num w:numId="18">
    <w:abstractNumId w:val="25"/>
  </w:num>
  <w:num w:numId="19">
    <w:abstractNumId w:val="14"/>
  </w:num>
  <w:num w:numId="20">
    <w:abstractNumId w:val="13"/>
  </w:num>
  <w:num w:numId="21">
    <w:abstractNumId w:val="3"/>
  </w:num>
  <w:num w:numId="22">
    <w:abstractNumId w:val="1"/>
  </w:num>
  <w:num w:numId="23">
    <w:abstractNumId w:val="20"/>
  </w:num>
  <w:num w:numId="24">
    <w:abstractNumId w:val="19"/>
  </w:num>
  <w:num w:numId="25">
    <w:abstractNumId w:val="12"/>
  </w:num>
  <w:num w:numId="26">
    <w:abstractNumId w:val="23"/>
  </w:num>
  <w:num w:numId="27">
    <w:abstractNumId w:val="11"/>
  </w:num>
  <w:num w:numId="28">
    <w:abstractNumId w:val="30"/>
  </w:num>
  <w:num w:numId="29">
    <w:abstractNumId w:val="18"/>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2EB"/>
    <w:rsid w:val="000122F4"/>
    <w:rsid w:val="00013681"/>
    <w:rsid w:val="00035157"/>
    <w:rsid w:val="0004538E"/>
    <w:rsid w:val="00062850"/>
    <w:rsid w:val="00066682"/>
    <w:rsid w:val="00071263"/>
    <w:rsid w:val="00094276"/>
    <w:rsid w:val="000A3EF2"/>
    <w:rsid w:val="000A54CA"/>
    <w:rsid w:val="000B26CF"/>
    <w:rsid w:val="000C131C"/>
    <w:rsid w:val="000C6229"/>
    <w:rsid w:val="000D0B65"/>
    <w:rsid w:val="000E51B9"/>
    <w:rsid w:val="00100565"/>
    <w:rsid w:val="00104BE6"/>
    <w:rsid w:val="00104D82"/>
    <w:rsid w:val="001230FF"/>
    <w:rsid w:val="00135603"/>
    <w:rsid w:val="00156417"/>
    <w:rsid w:val="0016068C"/>
    <w:rsid w:val="00164892"/>
    <w:rsid w:val="00184190"/>
    <w:rsid w:val="00191634"/>
    <w:rsid w:val="00194A8B"/>
    <w:rsid w:val="001A2C3D"/>
    <w:rsid w:val="001A5F14"/>
    <w:rsid w:val="001B26F5"/>
    <w:rsid w:val="001C23DA"/>
    <w:rsid w:val="001D055C"/>
    <w:rsid w:val="001E4E5B"/>
    <w:rsid w:val="00202D6E"/>
    <w:rsid w:val="00212223"/>
    <w:rsid w:val="00216936"/>
    <w:rsid w:val="00231D29"/>
    <w:rsid w:val="0027218E"/>
    <w:rsid w:val="002B7D0A"/>
    <w:rsid w:val="002C42FA"/>
    <w:rsid w:val="002D145B"/>
    <w:rsid w:val="002D7BA7"/>
    <w:rsid w:val="002F11E0"/>
    <w:rsid w:val="002F761D"/>
    <w:rsid w:val="00306F86"/>
    <w:rsid w:val="003209C8"/>
    <w:rsid w:val="00334C75"/>
    <w:rsid w:val="00336706"/>
    <w:rsid w:val="00342C3F"/>
    <w:rsid w:val="00346B47"/>
    <w:rsid w:val="00347A24"/>
    <w:rsid w:val="00357BFC"/>
    <w:rsid w:val="003829D0"/>
    <w:rsid w:val="00397C56"/>
    <w:rsid w:val="003A0534"/>
    <w:rsid w:val="003A1056"/>
    <w:rsid w:val="003A383B"/>
    <w:rsid w:val="003B05CE"/>
    <w:rsid w:val="003B2373"/>
    <w:rsid w:val="003D1C4F"/>
    <w:rsid w:val="003D3122"/>
    <w:rsid w:val="003D3230"/>
    <w:rsid w:val="003E55A8"/>
    <w:rsid w:val="003E6DE7"/>
    <w:rsid w:val="003E7DDA"/>
    <w:rsid w:val="00407802"/>
    <w:rsid w:val="00414871"/>
    <w:rsid w:val="00420756"/>
    <w:rsid w:val="00423BC1"/>
    <w:rsid w:val="00435720"/>
    <w:rsid w:val="004358FE"/>
    <w:rsid w:val="00445983"/>
    <w:rsid w:val="00445A97"/>
    <w:rsid w:val="0045080B"/>
    <w:rsid w:val="00453342"/>
    <w:rsid w:val="004904B0"/>
    <w:rsid w:val="004967DA"/>
    <w:rsid w:val="004A3579"/>
    <w:rsid w:val="004B3095"/>
    <w:rsid w:val="004B3904"/>
    <w:rsid w:val="004D5B79"/>
    <w:rsid w:val="004E0DF2"/>
    <w:rsid w:val="004F6F87"/>
    <w:rsid w:val="00512B53"/>
    <w:rsid w:val="00523F9C"/>
    <w:rsid w:val="00551968"/>
    <w:rsid w:val="00560EFC"/>
    <w:rsid w:val="00574A5C"/>
    <w:rsid w:val="00576919"/>
    <w:rsid w:val="005770CA"/>
    <w:rsid w:val="005A03FE"/>
    <w:rsid w:val="005B3C3F"/>
    <w:rsid w:val="005E4675"/>
    <w:rsid w:val="005F31BB"/>
    <w:rsid w:val="0060510F"/>
    <w:rsid w:val="0060638B"/>
    <w:rsid w:val="00631FCD"/>
    <w:rsid w:val="00633192"/>
    <w:rsid w:val="00635705"/>
    <w:rsid w:val="0064304B"/>
    <w:rsid w:val="00652523"/>
    <w:rsid w:val="00662BF5"/>
    <w:rsid w:val="00692446"/>
    <w:rsid w:val="006A4F39"/>
    <w:rsid w:val="006B4EB0"/>
    <w:rsid w:val="006C7D05"/>
    <w:rsid w:val="006E6C65"/>
    <w:rsid w:val="006F0523"/>
    <w:rsid w:val="006F2E9E"/>
    <w:rsid w:val="006F736A"/>
    <w:rsid w:val="00710814"/>
    <w:rsid w:val="00712620"/>
    <w:rsid w:val="007228C3"/>
    <w:rsid w:val="00737C91"/>
    <w:rsid w:val="00783229"/>
    <w:rsid w:val="00785936"/>
    <w:rsid w:val="007900C9"/>
    <w:rsid w:val="007911B2"/>
    <w:rsid w:val="00792C4D"/>
    <w:rsid w:val="00795D9B"/>
    <w:rsid w:val="007A12DE"/>
    <w:rsid w:val="007B6E38"/>
    <w:rsid w:val="007C723F"/>
    <w:rsid w:val="007D1352"/>
    <w:rsid w:val="007D147B"/>
    <w:rsid w:val="007D2D30"/>
    <w:rsid w:val="007E5E45"/>
    <w:rsid w:val="00816A4B"/>
    <w:rsid w:val="00827622"/>
    <w:rsid w:val="00832D69"/>
    <w:rsid w:val="00835E60"/>
    <w:rsid w:val="00850FA9"/>
    <w:rsid w:val="00857F1E"/>
    <w:rsid w:val="00871EA8"/>
    <w:rsid w:val="008733B9"/>
    <w:rsid w:val="00875FC0"/>
    <w:rsid w:val="008801E3"/>
    <w:rsid w:val="00887E39"/>
    <w:rsid w:val="00897238"/>
    <w:rsid w:val="00910A39"/>
    <w:rsid w:val="00911500"/>
    <w:rsid w:val="00913A4E"/>
    <w:rsid w:val="00917F6E"/>
    <w:rsid w:val="009263FC"/>
    <w:rsid w:val="009642ED"/>
    <w:rsid w:val="009877F1"/>
    <w:rsid w:val="009B344D"/>
    <w:rsid w:val="009B3A66"/>
    <w:rsid w:val="009B5D30"/>
    <w:rsid w:val="009B7267"/>
    <w:rsid w:val="009C7C96"/>
    <w:rsid w:val="009C7F17"/>
    <w:rsid w:val="009E085F"/>
    <w:rsid w:val="009F3C24"/>
    <w:rsid w:val="00A15099"/>
    <w:rsid w:val="00A21517"/>
    <w:rsid w:val="00A339A0"/>
    <w:rsid w:val="00A47287"/>
    <w:rsid w:val="00A57E44"/>
    <w:rsid w:val="00A621E3"/>
    <w:rsid w:val="00A73D83"/>
    <w:rsid w:val="00A8007F"/>
    <w:rsid w:val="00A851ED"/>
    <w:rsid w:val="00AA2028"/>
    <w:rsid w:val="00AB2FF3"/>
    <w:rsid w:val="00AB6C14"/>
    <w:rsid w:val="00B0177C"/>
    <w:rsid w:val="00B0206D"/>
    <w:rsid w:val="00B068F6"/>
    <w:rsid w:val="00B148CC"/>
    <w:rsid w:val="00B17856"/>
    <w:rsid w:val="00B5495C"/>
    <w:rsid w:val="00B63355"/>
    <w:rsid w:val="00B63C38"/>
    <w:rsid w:val="00B809C4"/>
    <w:rsid w:val="00B8191C"/>
    <w:rsid w:val="00B854B3"/>
    <w:rsid w:val="00B930B0"/>
    <w:rsid w:val="00BA2236"/>
    <w:rsid w:val="00BA2315"/>
    <w:rsid w:val="00BA772C"/>
    <w:rsid w:val="00BA77D2"/>
    <w:rsid w:val="00BC3B58"/>
    <w:rsid w:val="00BD4C30"/>
    <w:rsid w:val="00BE1521"/>
    <w:rsid w:val="00BF230E"/>
    <w:rsid w:val="00BF31E0"/>
    <w:rsid w:val="00BF772D"/>
    <w:rsid w:val="00C04AB7"/>
    <w:rsid w:val="00C16E84"/>
    <w:rsid w:val="00C266C3"/>
    <w:rsid w:val="00C455B7"/>
    <w:rsid w:val="00C60EE5"/>
    <w:rsid w:val="00C6560F"/>
    <w:rsid w:val="00C660D7"/>
    <w:rsid w:val="00C815A4"/>
    <w:rsid w:val="00C92CF5"/>
    <w:rsid w:val="00C961DF"/>
    <w:rsid w:val="00CA0346"/>
    <w:rsid w:val="00CA6C6E"/>
    <w:rsid w:val="00CB7CA9"/>
    <w:rsid w:val="00CD2023"/>
    <w:rsid w:val="00CD6836"/>
    <w:rsid w:val="00CD7899"/>
    <w:rsid w:val="00D10764"/>
    <w:rsid w:val="00D1311F"/>
    <w:rsid w:val="00D467E4"/>
    <w:rsid w:val="00D4733C"/>
    <w:rsid w:val="00D56168"/>
    <w:rsid w:val="00D61C45"/>
    <w:rsid w:val="00D66409"/>
    <w:rsid w:val="00D66D52"/>
    <w:rsid w:val="00D73568"/>
    <w:rsid w:val="00D73E4B"/>
    <w:rsid w:val="00D85201"/>
    <w:rsid w:val="00D92CED"/>
    <w:rsid w:val="00DA68D0"/>
    <w:rsid w:val="00DB1AE6"/>
    <w:rsid w:val="00DB7B14"/>
    <w:rsid w:val="00DD1234"/>
    <w:rsid w:val="00DD55A0"/>
    <w:rsid w:val="00DE2C29"/>
    <w:rsid w:val="00DE33E4"/>
    <w:rsid w:val="00DE72A2"/>
    <w:rsid w:val="00E15CA1"/>
    <w:rsid w:val="00E22AA7"/>
    <w:rsid w:val="00E33DE2"/>
    <w:rsid w:val="00E408A7"/>
    <w:rsid w:val="00E70C16"/>
    <w:rsid w:val="00E84EC9"/>
    <w:rsid w:val="00E92CD2"/>
    <w:rsid w:val="00E957ED"/>
    <w:rsid w:val="00EA4FA1"/>
    <w:rsid w:val="00EB1430"/>
    <w:rsid w:val="00EB642A"/>
    <w:rsid w:val="00EE45CD"/>
    <w:rsid w:val="00EE504D"/>
    <w:rsid w:val="00EF677B"/>
    <w:rsid w:val="00F02498"/>
    <w:rsid w:val="00F05A64"/>
    <w:rsid w:val="00F20300"/>
    <w:rsid w:val="00F23503"/>
    <w:rsid w:val="00F274C1"/>
    <w:rsid w:val="00F542A2"/>
    <w:rsid w:val="00F6163B"/>
    <w:rsid w:val="00F765B2"/>
    <w:rsid w:val="00F80B06"/>
    <w:rsid w:val="00FB6713"/>
    <w:rsid w:val="00FB6C0D"/>
    <w:rsid w:val="00FC32EB"/>
    <w:rsid w:val="00FC5B10"/>
    <w:rsid w:val="00FC5C9F"/>
    <w:rsid w:val="00FD1793"/>
    <w:rsid w:val="00FD39AC"/>
    <w:rsid w:val="00FD599C"/>
    <w:rsid w:val="00FD5D38"/>
    <w:rsid w:val="00FE7095"/>
    <w:rsid w:val="00FE7ADE"/>
    <w:rsid w:val="00FF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BBEFF8"/>
  <w15:docId w15:val="{0EFCC953-A1E9-45EB-9500-200AC7D6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1E0"/>
    <w:pPr>
      <w:spacing w:after="0" w:line="240" w:lineRule="auto"/>
    </w:pPr>
    <w:rPr>
      <w:rFonts w:ascii="Calibri" w:eastAsia="Times New Roman" w:hAnsi="Calibri" w:cs="Times New Roman"/>
      <w:sz w:val="20"/>
      <w:szCs w:val="20"/>
    </w:rPr>
  </w:style>
  <w:style w:type="paragraph" w:styleId="Heading1">
    <w:name w:val="heading 1"/>
    <w:basedOn w:val="Normal"/>
    <w:next w:val="Normal"/>
    <w:link w:val="Heading1Char"/>
    <w:autoRedefine/>
    <w:uiPriority w:val="9"/>
    <w:qFormat/>
    <w:rsid w:val="007A12DE"/>
    <w:pPr>
      <w:keepNext/>
      <w:keepLines/>
      <w:spacing w:after="120"/>
      <w:jc w:val="center"/>
      <w:outlineLvl w:val="0"/>
    </w:pPr>
    <w:rPr>
      <w:rFonts w:asciiTheme="minorHAnsi" w:eastAsiaTheme="majorEastAsia" w:hAnsiTheme="minorHAnsi" w:cstheme="majorBidi"/>
      <w:color w:val="6A2666"/>
      <w:sz w:val="36"/>
      <w:szCs w:val="36"/>
    </w:rPr>
  </w:style>
  <w:style w:type="paragraph" w:styleId="Heading2">
    <w:name w:val="heading 2"/>
    <w:basedOn w:val="Heading1"/>
    <w:next w:val="Normal"/>
    <w:link w:val="Heading2Char"/>
    <w:autoRedefine/>
    <w:uiPriority w:val="9"/>
    <w:unhideWhenUsed/>
    <w:qFormat/>
    <w:rsid w:val="00D66409"/>
    <w:pPr>
      <w:spacing w:after="0" w:line="276" w:lineRule="auto"/>
      <w:jc w:val="left"/>
      <w:outlineLvl w:val="1"/>
    </w:pPr>
    <w:rPr>
      <w:rFonts w:ascii="Calibri" w:hAnsi="Calibri"/>
      <w:b/>
      <w:bCs/>
      <w:caps/>
      <w:sz w:val="24"/>
      <w:szCs w:val="24"/>
    </w:rPr>
  </w:style>
  <w:style w:type="paragraph" w:styleId="Heading3">
    <w:name w:val="heading 3"/>
    <w:basedOn w:val="Normal"/>
    <w:next w:val="Normal"/>
    <w:link w:val="Heading3Char"/>
    <w:autoRedefine/>
    <w:qFormat/>
    <w:rsid w:val="00D66409"/>
    <w:pPr>
      <w:keepNext/>
      <w:outlineLvl w:val="2"/>
    </w:pPr>
    <w:rPr>
      <w:bCs/>
      <w:i/>
      <w:color w:val="6A2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DE"/>
    <w:rPr>
      <w:rFonts w:eastAsiaTheme="majorEastAsia" w:cstheme="majorBidi"/>
      <w:color w:val="6A2666"/>
      <w:sz w:val="36"/>
      <w:szCs w:val="36"/>
    </w:rPr>
  </w:style>
  <w:style w:type="character" w:customStyle="1" w:styleId="Heading2Char">
    <w:name w:val="Heading 2 Char"/>
    <w:basedOn w:val="DefaultParagraphFont"/>
    <w:link w:val="Heading2"/>
    <w:uiPriority w:val="9"/>
    <w:rsid w:val="00D66409"/>
    <w:rPr>
      <w:rFonts w:ascii="Calibri" w:eastAsiaTheme="majorEastAsia" w:hAnsi="Calibri" w:cstheme="majorBidi"/>
      <w:b/>
      <w:bCs/>
      <w:caps/>
      <w:color w:val="6A2666"/>
      <w:sz w:val="24"/>
      <w:szCs w:val="24"/>
    </w:rPr>
  </w:style>
  <w:style w:type="character" w:customStyle="1" w:styleId="Heading3Char">
    <w:name w:val="Heading 3 Char"/>
    <w:basedOn w:val="DefaultParagraphFont"/>
    <w:link w:val="Heading3"/>
    <w:rsid w:val="00D66409"/>
    <w:rPr>
      <w:rFonts w:ascii="Calibri" w:eastAsia="Times New Roman" w:hAnsi="Calibri" w:cs="Times New Roman"/>
      <w:bCs/>
      <w:i/>
      <w:color w:val="6A2666"/>
      <w:sz w:val="24"/>
      <w:szCs w:val="24"/>
    </w:rPr>
  </w:style>
  <w:style w:type="paragraph" w:styleId="Header">
    <w:name w:val="header"/>
    <w:basedOn w:val="Normal"/>
    <w:link w:val="HeaderChar"/>
    <w:uiPriority w:val="99"/>
    <w:rsid w:val="00832D69"/>
    <w:pPr>
      <w:tabs>
        <w:tab w:val="center" w:pos="4320"/>
        <w:tab w:val="right" w:pos="8640"/>
      </w:tabs>
    </w:pPr>
  </w:style>
  <w:style w:type="character" w:customStyle="1" w:styleId="HeaderChar">
    <w:name w:val="Header Char"/>
    <w:basedOn w:val="DefaultParagraphFont"/>
    <w:link w:val="Header"/>
    <w:uiPriority w:val="99"/>
    <w:rsid w:val="00832D69"/>
    <w:rPr>
      <w:rFonts w:ascii="Calibri" w:eastAsia="Times New Roman" w:hAnsi="Calibri" w:cs="Times New Roman"/>
      <w:sz w:val="20"/>
      <w:szCs w:val="20"/>
    </w:rPr>
  </w:style>
  <w:style w:type="character" w:styleId="Hyperlink">
    <w:name w:val="Hyperlink"/>
    <w:basedOn w:val="DefaultParagraphFont"/>
    <w:uiPriority w:val="99"/>
    <w:unhideWhenUsed/>
    <w:rsid w:val="007228C3"/>
    <w:rPr>
      <w:color w:val="auto"/>
      <w:u w:val="single"/>
    </w:rPr>
  </w:style>
  <w:style w:type="character" w:styleId="FollowedHyperlink">
    <w:name w:val="FollowedHyperlink"/>
    <w:basedOn w:val="DefaultParagraphFont"/>
    <w:uiPriority w:val="99"/>
    <w:unhideWhenUsed/>
    <w:rsid w:val="007228C3"/>
    <w:rPr>
      <w:color w:val="auto"/>
      <w:u w:val="single"/>
    </w:rPr>
  </w:style>
  <w:style w:type="paragraph" w:styleId="BodyText">
    <w:name w:val="Body Text"/>
    <w:basedOn w:val="Normal"/>
    <w:link w:val="BodyTextChar"/>
    <w:autoRedefine/>
    <w:qFormat/>
    <w:rsid w:val="007228C3"/>
    <w:rPr>
      <w:rFonts w:cs="Arial"/>
      <w:szCs w:val="24"/>
    </w:rPr>
  </w:style>
  <w:style w:type="character" w:customStyle="1" w:styleId="BodyTextChar">
    <w:name w:val="Body Text Char"/>
    <w:basedOn w:val="DefaultParagraphFont"/>
    <w:link w:val="BodyText"/>
    <w:rsid w:val="007228C3"/>
    <w:rPr>
      <w:rFonts w:ascii="Calibri" w:eastAsia="Times New Roman" w:hAnsi="Calibri" w:cs="Arial"/>
      <w:sz w:val="20"/>
      <w:szCs w:val="24"/>
    </w:rPr>
  </w:style>
  <w:style w:type="paragraph" w:styleId="Revision">
    <w:name w:val="Revision"/>
    <w:hidden/>
    <w:uiPriority w:val="99"/>
    <w:rsid w:val="00792C4D"/>
    <w:pPr>
      <w:spacing w:after="0" w:line="240" w:lineRule="auto"/>
    </w:pPr>
  </w:style>
  <w:style w:type="table" w:styleId="TableGrid">
    <w:name w:val="Table Grid"/>
    <w:basedOn w:val="TableNormal"/>
    <w:uiPriority w:val="59"/>
    <w:rsid w:val="00B6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C7D05"/>
    <w:pPr>
      <w:ind w:left="720"/>
      <w:contextualSpacing/>
    </w:pPr>
  </w:style>
  <w:style w:type="paragraph" w:styleId="Footer">
    <w:name w:val="footer"/>
    <w:basedOn w:val="Normal"/>
    <w:link w:val="FooterChar"/>
    <w:uiPriority w:val="99"/>
    <w:rsid w:val="00CA6C6E"/>
    <w:pPr>
      <w:tabs>
        <w:tab w:val="center" w:pos="4320"/>
        <w:tab w:val="right" w:pos="8640"/>
      </w:tabs>
    </w:pPr>
  </w:style>
  <w:style w:type="character" w:customStyle="1" w:styleId="FooterChar">
    <w:name w:val="Footer Char"/>
    <w:basedOn w:val="DefaultParagraphFont"/>
    <w:link w:val="Footer"/>
    <w:uiPriority w:val="99"/>
    <w:rsid w:val="00CA6C6E"/>
    <w:rPr>
      <w:rFonts w:ascii="Calibri" w:eastAsia="Times New Roman" w:hAnsi="Calibri" w:cs="Times New Roman"/>
      <w:sz w:val="20"/>
      <w:szCs w:val="20"/>
    </w:rPr>
  </w:style>
  <w:style w:type="paragraph" w:customStyle="1" w:styleId="BulletedList">
    <w:name w:val="Bulleted List"/>
    <w:basedOn w:val="Normal"/>
    <w:next w:val="List"/>
    <w:autoRedefine/>
    <w:qFormat/>
    <w:rsid w:val="00710814"/>
    <w:pPr>
      <w:numPr>
        <w:numId w:val="30"/>
      </w:numPr>
      <w:spacing w:after="200"/>
    </w:pPr>
  </w:style>
  <w:style w:type="paragraph" w:styleId="List">
    <w:name w:val="List"/>
    <w:basedOn w:val="Normal"/>
    <w:rsid w:val="00710814"/>
    <w:pPr>
      <w:ind w:left="360" w:hanging="360"/>
      <w:contextualSpacing/>
    </w:pPr>
  </w:style>
  <w:style w:type="paragraph" w:styleId="BalloonText">
    <w:name w:val="Balloon Text"/>
    <w:basedOn w:val="Normal"/>
    <w:link w:val="BalloonTextChar"/>
    <w:uiPriority w:val="99"/>
    <w:rsid w:val="00F0249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0249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nna\Downloads\DFA%20Toolkit%20Template.dotx" TargetMode="External"/></Relationships>
</file>

<file path=word/theme/theme1.xml><?xml version="1.0" encoding="utf-8"?>
<a:theme xmlns:a="http://schemas.openxmlformats.org/drawingml/2006/main" name="Office Theme">
  <a:themeElements>
    <a:clrScheme name="ACTonAlzheimers">
      <a:dk1>
        <a:sysClr val="windowText" lastClr="000000"/>
      </a:dk1>
      <a:lt1>
        <a:sysClr val="window" lastClr="FFFFFF"/>
      </a:lt1>
      <a:dk2>
        <a:srgbClr val="46156B"/>
      </a:dk2>
      <a:lt2>
        <a:srgbClr val="EEECE1"/>
      </a:lt2>
      <a:accent1>
        <a:srgbClr val="59A131"/>
      </a:accent1>
      <a:accent2>
        <a:srgbClr val="6C0421"/>
      </a:accent2>
      <a:accent3>
        <a:srgbClr val="FFE381"/>
      </a:accent3>
      <a:accent4>
        <a:srgbClr val="8064A2"/>
      </a:accent4>
      <a:accent5>
        <a:srgbClr val="C3C3B0"/>
      </a:accent5>
      <a:accent6>
        <a:srgbClr val="63646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83EE8C0B24D41AF9049B99095227D" ma:contentTypeVersion="18" ma:contentTypeDescription="Create a new document." ma:contentTypeScope="" ma:versionID="01c2de2094b4cba12ae7f0f247adc915">
  <xsd:schema xmlns:xsd="http://www.w3.org/2001/XMLSchema" xmlns:xs="http://www.w3.org/2001/XMLSchema" xmlns:p="http://schemas.microsoft.com/office/2006/metadata/properties" xmlns:ns2="2d32015e-0204-4058-82fc-e98b7a5354eb" xmlns:ns3="4f81154a-34ba-4b39-b7b5-5c48ee994806" targetNamespace="http://schemas.microsoft.com/office/2006/metadata/properties" ma:root="true" ma:fieldsID="ee53c354c27ce688570a20b0d560738b" ns2:_="" ns3:_="">
    <xsd:import namespace="2d32015e-0204-4058-82fc-e98b7a5354eb"/>
    <xsd:import namespace="4f81154a-34ba-4b39-b7b5-5c48ee994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ReviewedbyDeb"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2015e-0204-4058-82fc-e98b7a53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ReviewedbyDeb" ma:index="20" nillable="true" ma:displayName="Reviewed by Deb" ma:format="Dropdown" ma:list="UserInfo" ma:SharePointGroup="0" ma:internalName="ReviewedbyDe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697cc2-de57-4ac5-8170-52ff47dbd4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1154a-34ba-4b39-b7b5-5c48ee9948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8279a2-084a-47e0-bf23-43fa0edbbbd0}" ma:internalName="TaxCatchAll" ma:showField="CatchAllData" ma:web="4f81154a-34ba-4b39-b7b5-5c48ee994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viewedbyDeb xmlns="2d32015e-0204-4058-82fc-e98b7a5354eb">
      <UserInfo>
        <DisplayName/>
        <AccountId xsi:nil="true"/>
        <AccountType/>
      </UserInfo>
    </ReviewedbyDeb>
    <lcf76f155ced4ddcb4097134ff3c332f xmlns="2d32015e-0204-4058-82fc-e98b7a5354eb">
      <Terms xmlns="http://schemas.microsoft.com/office/infopath/2007/PartnerControls"/>
    </lcf76f155ced4ddcb4097134ff3c332f>
    <TaxCatchAll xmlns="4f81154a-34ba-4b39-b7b5-5c48ee994806"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FAE3ECA-3ED1-4C46-9804-C4172428E6E3}">
  <ds:schemaRefs>
    <ds:schemaRef ds:uri="http://schemas.microsoft.com/sharepoint/v3/contenttype/forms"/>
  </ds:schemaRefs>
</ds:datastoreItem>
</file>

<file path=customXml/itemProps2.xml><?xml version="1.0" encoding="utf-8"?>
<ds:datastoreItem xmlns:ds="http://schemas.openxmlformats.org/officeDocument/2006/customXml" ds:itemID="{FDF7212C-0828-4884-A774-82C96A6FC1E2}"/>
</file>

<file path=customXml/itemProps3.xml><?xml version="1.0" encoding="utf-8"?>
<ds:datastoreItem xmlns:ds="http://schemas.openxmlformats.org/officeDocument/2006/customXml" ds:itemID="{C39FC20B-D5B9-49B6-AEEA-00478EA1E9B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ae60152-b484-4397-ab1e-49325e44c8a9"/>
    <ds:schemaRef ds:uri="http://www.w3.org/XML/1998/namespace"/>
    <ds:schemaRef ds:uri="http://purl.org/dc/dcmitype/"/>
  </ds:schemaRefs>
</ds:datastoreItem>
</file>

<file path=customXml/itemProps4.xml><?xml version="1.0" encoding="utf-8"?>
<ds:datastoreItem xmlns:ds="http://schemas.openxmlformats.org/officeDocument/2006/customXml" ds:itemID="{5EBEA6EE-8579-47CF-9311-F2335CD85F9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DFA Toolkit Template</Template>
  <TotalTime>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Action Team Building | Dementia Capable Communities Toolkit</vt:lpstr>
    </vt:vector>
  </TitlesOfParts>
  <Company>Microsoft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Building | Dementia Capable Communities Toolkit</dc:title>
  <dc:creator>Breanna Wheeler</dc:creator>
  <cp:lastModifiedBy>Meredith Hanley</cp:lastModifiedBy>
  <cp:revision>4</cp:revision>
  <cp:lastPrinted>2012-02-17T17:57:00Z</cp:lastPrinted>
  <dcterms:created xsi:type="dcterms:W3CDTF">2016-09-14T00:40:00Z</dcterms:created>
  <dcterms:modified xsi:type="dcterms:W3CDTF">2019-03-26T19:45:00Z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0x010100D6A83EE8C0B24D41AF9049B99095227D</vt:lpwstr>
  </property>
  <property fmtid="{D5CDD505-2E9C-101B-9397-08002B2CF9AE}" pid="3" name="Order">
    <vt:r8>7743900</vt:r8>
  </property>
</Properties>
</file>